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87" w:rsidRDefault="00995B1A" w:rsidP="00D53B87">
      <w:pPr>
        <w:pStyle w:val="Default"/>
        <w:jc w:val="both"/>
      </w:pPr>
      <w:r>
        <w:rPr>
          <w:noProof/>
          <w:sz w:val="72"/>
          <w:szCs w:val="72"/>
          <w:lang w:val="en-NZ" w:eastAsia="en-NZ"/>
        </w:rPr>
        <w:drawing>
          <wp:inline distT="0" distB="0" distL="0" distR="0" wp14:anchorId="59D890CE" wp14:editId="64381CC1">
            <wp:extent cx="5840730" cy="2254218"/>
            <wp:effectExtent l="19050" t="0" r="7620" b="0"/>
            <wp:docPr id="2" name="Picture 1" descr="http://unipr.waikato.ac.nz/resources/Waik_Word_RGB_H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ipr.waikato.ac.nz/resources/Waik_Word_RGB_H_Red.jpg"/>
                    <pic:cNvPicPr>
                      <a:picLocks noChangeAspect="1" noChangeArrowheads="1"/>
                    </pic:cNvPicPr>
                  </pic:nvPicPr>
                  <pic:blipFill>
                    <a:blip r:embed="rId6"/>
                    <a:srcRect/>
                    <a:stretch>
                      <a:fillRect/>
                    </a:stretch>
                  </pic:blipFill>
                  <pic:spPr bwMode="auto">
                    <a:xfrm>
                      <a:off x="0" y="0"/>
                      <a:ext cx="5840730" cy="2254218"/>
                    </a:xfrm>
                    <a:prstGeom prst="rect">
                      <a:avLst/>
                    </a:prstGeom>
                    <a:noFill/>
                    <a:ln w="9525">
                      <a:noFill/>
                      <a:miter lim="800000"/>
                      <a:headEnd/>
                      <a:tailEnd/>
                    </a:ln>
                  </pic:spPr>
                </pic:pic>
              </a:graphicData>
            </a:graphic>
          </wp:inline>
        </w:drawing>
      </w:r>
    </w:p>
    <w:p w:rsidR="00995B1A" w:rsidRDefault="00995B1A" w:rsidP="00D53B87">
      <w:pPr>
        <w:pStyle w:val="Default"/>
        <w:jc w:val="both"/>
        <w:rPr>
          <w:sz w:val="40"/>
          <w:szCs w:val="40"/>
        </w:rPr>
      </w:pPr>
    </w:p>
    <w:p w:rsidR="00995B1A" w:rsidRDefault="00995B1A" w:rsidP="00D53B87">
      <w:pPr>
        <w:pStyle w:val="Default"/>
        <w:jc w:val="both"/>
        <w:rPr>
          <w:sz w:val="40"/>
          <w:szCs w:val="40"/>
        </w:rPr>
      </w:pPr>
    </w:p>
    <w:p w:rsidR="00D53B87" w:rsidRDefault="00D53B87" w:rsidP="00D53B87">
      <w:pPr>
        <w:pStyle w:val="Default"/>
        <w:jc w:val="both"/>
        <w:rPr>
          <w:sz w:val="40"/>
          <w:szCs w:val="40"/>
        </w:rPr>
      </w:pPr>
      <w:r>
        <w:rPr>
          <w:sz w:val="40"/>
          <w:szCs w:val="40"/>
        </w:rPr>
        <w:t xml:space="preserve">Quick introduction to the PBRF </w:t>
      </w:r>
    </w:p>
    <w:p w:rsidR="00D53B87" w:rsidRDefault="00D53B87" w:rsidP="00D53B87">
      <w:pPr>
        <w:pStyle w:val="Default"/>
        <w:jc w:val="both"/>
        <w:rPr>
          <w:rFonts w:ascii="Arial" w:hAnsi="Arial" w:cs="Arial"/>
          <w:b/>
          <w:bCs/>
          <w:sz w:val="28"/>
          <w:szCs w:val="28"/>
        </w:rPr>
      </w:pPr>
    </w:p>
    <w:p w:rsidR="00D53B87" w:rsidRDefault="00D53B87" w:rsidP="00D53B87">
      <w:pPr>
        <w:pStyle w:val="Default"/>
        <w:jc w:val="both"/>
        <w:rPr>
          <w:rFonts w:ascii="Arial" w:hAnsi="Arial" w:cs="Arial"/>
          <w:sz w:val="28"/>
          <w:szCs w:val="28"/>
        </w:rPr>
      </w:pPr>
      <w:r>
        <w:rPr>
          <w:rFonts w:ascii="Arial" w:hAnsi="Arial" w:cs="Arial"/>
          <w:b/>
          <w:bCs/>
          <w:sz w:val="28"/>
          <w:szCs w:val="28"/>
        </w:rPr>
        <w:t xml:space="preserve">What is the PBRF for? </w:t>
      </w:r>
    </w:p>
    <w:p w:rsidR="00D53B87" w:rsidRDefault="00D53B87" w:rsidP="00D53B87">
      <w:pPr>
        <w:pStyle w:val="Default"/>
        <w:jc w:val="both"/>
        <w:rPr>
          <w:rFonts w:ascii="Arial" w:hAnsi="Arial" w:cs="Arial"/>
          <w:sz w:val="23"/>
          <w:szCs w:val="23"/>
        </w:rPr>
      </w:pPr>
      <w:r>
        <w:rPr>
          <w:rFonts w:ascii="Arial" w:hAnsi="Arial" w:cs="Arial"/>
          <w:sz w:val="23"/>
          <w:szCs w:val="23"/>
        </w:rPr>
        <w:t xml:space="preserve">The PBRF is designed to encourage and reward excellent research in the tertiary education sector. This entails funding TEOs based on their research performance. From 2007, more than $200 million per annum will be allocated to TEOs through the PBRF. </w:t>
      </w:r>
    </w:p>
    <w:p w:rsidR="00D53B87" w:rsidRDefault="00D53B87" w:rsidP="00D53B87">
      <w:pPr>
        <w:pStyle w:val="Default"/>
        <w:jc w:val="both"/>
        <w:rPr>
          <w:rFonts w:ascii="Arial" w:hAnsi="Arial" w:cs="Arial"/>
          <w:sz w:val="23"/>
          <w:szCs w:val="23"/>
        </w:rPr>
      </w:pPr>
      <w:r>
        <w:rPr>
          <w:rFonts w:ascii="Arial" w:hAnsi="Arial" w:cs="Arial"/>
          <w:sz w:val="23"/>
          <w:szCs w:val="23"/>
        </w:rPr>
        <w:t xml:space="preserve">The PBRF contributes to the success of the Tertiary Education Strategy (TES), supporting its objectives of: </w:t>
      </w: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3"/>
          <w:szCs w:val="23"/>
        </w:rPr>
      </w:pPr>
      <w:r>
        <w:rPr>
          <w:rFonts w:ascii="Arial" w:hAnsi="Arial" w:cs="Arial"/>
          <w:sz w:val="23"/>
          <w:szCs w:val="23"/>
        </w:rPr>
        <w:t xml:space="preserve">• excellent research performance is encouraged and rewarded </w:t>
      </w:r>
    </w:p>
    <w:p w:rsidR="00D53B87" w:rsidRDefault="00D53B87" w:rsidP="00D53B87">
      <w:pPr>
        <w:pStyle w:val="Default"/>
        <w:jc w:val="both"/>
        <w:rPr>
          <w:rFonts w:ascii="Arial" w:hAnsi="Arial" w:cs="Arial"/>
          <w:sz w:val="23"/>
          <w:szCs w:val="23"/>
        </w:rPr>
      </w:pPr>
    </w:p>
    <w:p w:rsidR="00D53B87" w:rsidRDefault="00D53B87" w:rsidP="00134007">
      <w:pPr>
        <w:pStyle w:val="Default"/>
        <w:tabs>
          <w:tab w:val="left" w:pos="142"/>
        </w:tabs>
        <w:jc w:val="both"/>
        <w:rPr>
          <w:rFonts w:ascii="Arial" w:hAnsi="Arial" w:cs="Arial"/>
          <w:sz w:val="23"/>
          <w:szCs w:val="23"/>
        </w:rPr>
      </w:pPr>
      <w:r>
        <w:rPr>
          <w:rFonts w:ascii="Arial" w:hAnsi="Arial" w:cs="Arial"/>
          <w:sz w:val="23"/>
          <w:szCs w:val="23"/>
        </w:rPr>
        <w:t xml:space="preserve">•stronger accountability and enhanced performance reporting for tertiary education research. </w:t>
      </w: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8"/>
          <w:szCs w:val="28"/>
        </w:rPr>
      </w:pPr>
      <w:r>
        <w:rPr>
          <w:rFonts w:ascii="Arial" w:hAnsi="Arial" w:cs="Arial"/>
          <w:b/>
          <w:bCs/>
          <w:sz w:val="28"/>
          <w:szCs w:val="28"/>
        </w:rPr>
        <w:t xml:space="preserve">How does the PBRF work? </w:t>
      </w:r>
    </w:p>
    <w:p w:rsidR="00D53B87" w:rsidRDefault="00D53B87" w:rsidP="00D53B87">
      <w:pPr>
        <w:pStyle w:val="Default"/>
        <w:jc w:val="both"/>
        <w:rPr>
          <w:rFonts w:ascii="Arial" w:hAnsi="Arial" w:cs="Arial"/>
          <w:sz w:val="23"/>
          <w:szCs w:val="23"/>
        </w:rPr>
      </w:pPr>
      <w:r>
        <w:rPr>
          <w:rFonts w:ascii="Arial" w:hAnsi="Arial" w:cs="Arial"/>
          <w:sz w:val="23"/>
          <w:szCs w:val="23"/>
        </w:rPr>
        <w:t xml:space="preserve">The PBRF provides research funding based on three elements: </w:t>
      </w:r>
    </w:p>
    <w:p w:rsidR="00D53B87" w:rsidRDefault="00D53B87" w:rsidP="00D53B87">
      <w:pPr>
        <w:pStyle w:val="Default"/>
        <w:jc w:val="both"/>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the</w:t>
      </w:r>
      <w:proofErr w:type="gramEnd"/>
      <w:r>
        <w:rPr>
          <w:rFonts w:ascii="Arial" w:hAnsi="Arial" w:cs="Arial"/>
          <w:sz w:val="23"/>
          <w:szCs w:val="23"/>
        </w:rPr>
        <w:t xml:space="preserve"> Quality Evaluation, which assesses the quality of researcher’s outputs </w:t>
      </w: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3"/>
          <w:szCs w:val="23"/>
        </w:rPr>
      </w:pPr>
      <w:r>
        <w:rPr>
          <w:rFonts w:ascii="Arial" w:hAnsi="Arial" w:cs="Arial"/>
          <w:sz w:val="23"/>
          <w:szCs w:val="23"/>
        </w:rPr>
        <w:t xml:space="preserve">• Research Degree Completions (RDC) </w:t>
      </w: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3"/>
          <w:szCs w:val="23"/>
        </w:rPr>
      </w:pPr>
      <w:r>
        <w:rPr>
          <w:rFonts w:ascii="Arial" w:hAnsi="Arial" w:cs="Arial"/>
          <w:sz w:val="23"/>
          <w:szCs w:val="23"/>
        </w:rPr>
        <w:t xml:space="preserve">• External Research Income (ERI). </w:t>
      </w: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3"/>
          <w:szCs w:val="23"/>
        </w:rPr>
      </w:pPr>
      <w:r>
        <w:rPr>
          <w:rFonts w:ascii="Arial" w:hAnsi="Arial" w:cs="Arial"/>
          <w:sz w:val="23"/>
          <w:szCs w:val="23"/>
        </w:rPr>
        <w:t>The most significant element is the Quality Evaluation. This assesses the research performance of TEOs by evaluating the individual researcher</w:t>
      </w:r>
      <w:r>
        <w:rPr>
          <w:rFonts w:ascii="MS Mincho" w:eastAsia="MS Mincho" w:hAnsi="MS Mincho" w:cs="MS Mincho"/>
          <w:sz w:val="23"/>
          <w:szCs w:val="23"/>
        </w:rPr>
        <w:t>’</w:t>
      </w:r>
      <w:r>
        <w:rPr>
          <w:rFonts w:ascii="Arial" w:hAnsi="Arial" w:cs="Arial"/>
          <w:sz w:val="23"/>
          <w:szCs w:val="23"/>
        </w:rPr>
        <w:t xml:space="preserve">s research outputs, peer esteem, and contributions to the research environment. This element is what a staff member contributes to. The other two components (RDC and ERI), are the responsibility of your TEO. </w:t>
      </w: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3"/>
          <w:szCs w:val="23"/>
        </w:rPr>
      </w:pPr>
    </w:p>
    <w:p w:rsidR="00D53B87" w:rsidRDefault="00D53B87" w:rsidP="00D53B87">
      <w:pPr>
        <w:pStyle w:val="Default"/>
        <w:jc w:val="both"/>
        <w:rPr>
          <w:rFonts w:ascii="Arial" w:hAnsi="Arial" w:cs="Arial"/>
          <w:sz w:val="28"/>
          <w:szCs w:val="28"/>
        </w:rPr>
      </w:pPr>
      <w:r>
        <w:rPr>
          <w:rFonts w:ascii="Arial" w:hAnsi="Arial" w:cs="Arial"/>
          <w:b/>
          <w:bCs/>
          <w:sz w:val="28"/>
          <w:szCs w:val="28"/>
        </w:rPr>
        <w:t xml:space="preserve">How often do Quality Evaluations occur? </w:t>
      </w:r>
    </w:p>
    <w:p w:rsidR="00D53B87" w:rsidRDefault="00D53B87" w:rsidP="00D53B87">
      <w:pPr>
        <w:pStyle w:val="Default"/>
        <w:jc w:val="both"/>
        <w:rPr>
          <w:rFonts w:ascii="Arial" w:hAnsi="Arial" w:cs="Arial"/>
          <w:sz w:val="23"/>
          <w:szCs w:val="23"/>
        </w:rPr>
      </w:pPr>
      <w:r>
        <w:rPr>
          <w:rFonts w:ascii="Arial" w:hAnsi="Arial" w:cs="Arial"/>
          <w:sz w:val="23"/>
          <w:szCs w:val="23"/>
        </w:rPr>
        <w:t>The first evaluation round took place in 2003, the second in 2006</w:t>
      </w:r>
      <w:r w:rsidR="002F4B51">
        <w:rPr>
          <w:rFonts w:ascii="Arial" w:hAnsi="Arial" w:cs="Arial"/>
          <w:sz w:val="23"/>
          <w:szCs w:val="23"/>
        </w:rPr>
        <w:t xml:space="preserve"> and the third in 2012</w:t>
      </w:r>
      <w:r>
        <w:rPr>
          <w:rFonts w:ascii="Arial" w:hAnsi="Arial" w:cs="Arial"/>
          <w:sz w:val="23"/>
          <w:szCs w:val="23"/>
        </w:rPr>
        <w:t>. The next ev</w:t>
      </w:r>
      <w:r w:rsidR="002F4B51">
        <w:rPr>
          <w:rFonts w:ascii="Arial" w:hAnsi="Arial" w:cs="Arial"/>
          <w:sz w:val="23"/>
          <w:szCs w:val="23"/>
        </w:rPr>
        <w:t>aluation will take place in 2018</w:t>
      </w:r>
      <w:r>
        <w:rPr>
          <w:rFonts w:ascii="Arial" w:hAnsi="Arial" w:cs="Arial"/>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D53B87" w:rsidRPr="00D53B87" w:rsidTr="004925C2">
        <w:trPr>
          <w:trHeight w:val="1002"/>
        </w:trPr>
        <w:tc>
          <w:tcPr>
            <w:tcW w:w="9464" w:type="dxa"/>
          </w:tcPr>
          <w:p w:rsidR="00D53B87" w:rsidRDefault="00D53B87" w:rsidP="004925C2">
            <w:pPr>
              <w:pStyle w:val="Default"/>
              <w:jc w:val="both"/>
              <w:rPr>
                <w:rFonts w:ascii="Arial" w:eastAsiaTheme="minorHAnsi" w:hAnsi="Arial" w:cs="Arial"/>
                <w:b/>
                <w:bCs/>
                <w:sz w:val="28"/>
                <w:szCs w:val="28"/>
              </w:rPr>
            </w:pPr>
          </w:p>
          <w:p w:rsidR="00D53B87" w:rsidRPr="00D53B87" w:rsidRDefault="00D53B87" w:rsidP="004925C2">
            <w:pPr>
              <w:pStyle w:val="Default"/>
              <w:jc w:val="both"/>
              <w:rPr>
                <w:rFonts w:ascii="Arial" w:eastAsiaTheme="minorHAnsi" w:hAnsi="Arial" w:cs="Arial"/>
                <w:b/>
                <w:bCs/>
                <w:sz w:val="28"/>
                <w:szCs w:val="28"/>
              </w:rPr>
            </w:pPr>
          </w:p>
          <w:p w:rsidR="00D53B87" w:rsidRPr="008E1DED" w:rsidRDefault="00D53B87" w:rsidP="004925C2">
            <w:pPr>
              <w:pStyle w:val="Default"/>
              <w:jc w:val="both"/>
              <w:rPr>
                <w:rFonts w:ascii="Arial" w:eastAsiaTheme="minorHAnsi" w:hAnsi="Arial" w:cs="Arial"/>
                <w:b/>
                <w:bCs/>
                <w:sz w:val="28"/>
                <w:szCs w:val="28"/>
              </w:rPr>
            </w:pPr>
            <w:r w:rsidRPr="00D53B87">
              <w:rPr>
                <w:rFonts w:ascii="Arial" w:eastAsiaTheme="minorHAnsi" w:hAnsi="Arial" w:cs="Arial"/>
                <w:b/>
                <w:bCs/>
                <w:sz w:val="28"/>
                <w:szCs w:val="28"/>
              </w:rPr>
              <w:t xml:space="preserve">What happens during the Quality Evaluation? </w:t>
            </w:r>
          </w:p>
        </w:tc>
      </w:tr>
      <w:tr w:rsidR="00D53B87" w:rsidRPr="00D53B87" w:rsidTr="00F42AAE">
        <w:trPr>
          <w:trHeight w:val="637"/>
        </w:trPr>
        <w:tc>
          <w:tcPr>
            <w:tcW w:w="9464" w:type="dxa"/>
          </w:tcPr>
          <w:p w:rsidR="00D53B87" w:rsidRPr="00D53B87" w:rsidRDefault="00D53B87" w:rsidP="00116C1A">
            <w:pPr>
              <w:pStyle w:val="Default"/>
              <w:ind w:left="142"/>
              <w:jc w:val="both"/>
              <w:rPr>
                <w:rFonts w:eastAsiaTheme="minorHAnsi"/>
                <w:sz w:val="23"/>
                <w:szCs w:val="23"/>
              </w:rPr>
            </w:pPr>
            <w:r w:rsidRPr="00D53B87">
              <w:rPr>
                <w:rFonts w:ascii="Arial" w:eastAsiaTheme="minorHAnsi" w:hAnsi="Arial" w:cs="Arial"/>
                <w:sz w:val="23"/>
                <w:szCs w:val="23"/>
              </w:rPr>
              <w:t>1. TEO researchers and research managers read the Performance-Based Rese</w:t>
            </w:r>
            <w:r w:rsidR="000406AD">
              <w:rPr>
                <w:rFonts w:ascii="Arial" w:eastAsiaTheme="minorHAnsi" w:hAnsi="Arial" w:cs="Arial"/>
                <w:sz w:val="23"/>
                <w:szCs w:val="23"/>
              </w:rPr>
              <w:t xml:space="preserve">arch Fund (PBRF) Guidelines </w:t>
            </w:r>
            <w:r w:rsidR="000406AD" w:rsidRPr="000406AD">
              <w:rPr>
                <w:rFonts w:ascii="Arial" w:eastAsiaTheme="minorHAnsi" w:hAnsi="Arial" w:cs="Arial"/>
                <w:i/>
                <w:sz w:val="23"/>
                <w:szCs w:val="23"/>
              </w:rPr>
              <w:t>(the TEC are currently preparing new 2018 guidelines and these will be circulated as soon as they come to hand)</w:t>
            </w:r>
            <w:r w:rsidRPr="000406AD">
              <w:rPr>
                <w:rFonts w:ascii="Arial" w:eastAsiaTheme="minorHAnsi" w:hAnsi="Arial" w:cs="Arial"/>
                <w:i/>
                <w:sz w:val="23"/>
                <w:szCs w:val="23"/>
              </w:rPr>
              <w:t>.</w:t>
            </w:r>
            <w:r w:rsidRPr="00D53B87">
              <w:rPr>
                <w:rFonts w:ascii="Arial" w:eastAsiaTheme="minorHAnsi" w:hAnsi="Arial" w:cs="Arial"/>
                <w:sz w:val="23"/>
                <w:szCs w:val="23"/>
              </w:rPr>
              <w:t xml:space="preserve"> </w:t>
            </w:r>
          </w:p>
          <w:p w:rsidR="00D53B87" w:rsidRPr="00D53B87" w:rsidRDefault="00D53B87" w:rsidP="00116C1A">
            <w:pPr>
              <w:pStyle w:val="Default"/>
              <w:ind w:left="142"/>
              <w:jc w:val="both"/>
              <w:rPr>
                <w:rFonts w:eastAsiaTheme="minorHAnsi"/>
                <w:sz w:val="23"/>
                <w:szCs w:val="23"/>
              </w:rPr>
            </w:pPr>
          </w:p>
          <w:p w:rsidR="00D53B87" w:rsidRPr="00D53B87" w:rsidRDefault="002B3CF5" w:rsidP="00116C1A">
            <w:pPr>
              <w:pStyle w:val="Default"/>
              <w:ind w:left="142"/>
              <w:jc w:val="both"/>
              <w:rPr>
                <w:rFonts w:eastAsiaTheme="minorHAnsi"/>
                <w:sz w:val="23"/>
                <w:szCs w:val="23"/>
              </w:rPr>
            </w:pPr>
            <w:r>
              <w:rPr>
                <w:rFonts w:ascii="Arial" w:eastAsiaTheme="minorHAnsi" w:hAnsi="Arial" w:cs="Arial"/>
                <w:sz w:val="23"/>
                <w:szCs w:val="23"/>
              </w:rPr>
              <w:t>2. TEOs determine</w:t>
            </w:r>
            <w:r w:rsidR="00D53B87" w:rsidRPr="00D53B87">
              <w:rPr>
                <w:rFonts w:ascii="Arial" w:eastAsiaTheme="minorHAnsi" w:hAnsi="Arial" w:cs="Arial"/>
                <w:sz w:val="23"/>
                <w:szCs w:val="23"/>
              </w:rPr>
              <w:t xml:space="preserve"> researcher eligibility </w:t>
            </w:r>
          </w:p>
          <w:tbl>
            <w:tblPr>
              <w:tblW w:w="0" w:type="auto"/>
              <w:tblBorders>
                <w:top w:val="nil"/>
                <w:left w:val="nil"/>
                <w:bottom w:val="nil"/>
                <w:right w:val="nil"/>
              </w:tblBorders>
              <w:tblLayout w:type="fixed"/>
              <w:tblLook w:val="0000" w:firstRow="0" w:lastRow="0" w:firstColumn="0" w:lastColumn="0" w:noHBand="0" w:noVBand="0"/>
            </w:tblPr>
            <w:tblGrid>
              <w:gridCol w:w="9072"/>
              <w:gridCol w:w="142"/>
            </w:tblGrid>
            <w:tr w:rsidR="00D53B87" w:rsidRPr="00D53B87" w:rsidTr="00F42AAE">
              <w:trPr>
                <w:trHeight w:val="2357"/>
              </w:trPr>
              <w:tc>
                <w:tcPr>
                  <w:tcW w:w="9214" w:type="dxa"/>
                  <w:gridSpan w:val="2"/>
                </w:tcPr>
                <w:p w:rsidR="00D53B87" w:rsidRPr="00D53B87" w:rsidRDefault="00D53B87" w:rsidP="004925C2">
                  <w:pPr>
                    <w:autoSpaceDE w:val="0"/>
                    <w:autoSpaceDN w:val="0"/>
                    <w:adjustRightInd w:val="0"/>
                    <w:spacing w:after="0" w:line="240" w:lineRule="auto"/>
                    <w:jc w:val="both"/>
                    <w:rPr>
                      <w:rFonts w:ascii="Arial" w:eastAsiaTheme="minorHAnsi" w:hAnsi="Arial" w:cs="Arial"/>
                      <w:sz w:val="24"/>
                      <w:szCs w:val="24"/>
                    </w:rPr>
                  </w:pP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r w:rsidRPr="00D53B87">
                    <w:rPr>
                      <w:rFonts w:ascii="Arial" w:eastAsiaTheme="minorHAnsi" w:hAnsi="Arial" w:cs="Arial"/>
                      <w:color w:val="000000"/>
                      <w:sz w:val="23"/>
                      <w:szCs w:val="23"/>
                    </w:rPr>
                    <w:t>3. Pa</w:t>
                  </w:r>
                  <w:r w:rsidR="002B3CF5">
                    <w:rPr>
                      <w:rFonts w:ascii="Arial" w:eastAsiaTheme="minorHAnsi" w:hAnsi="Arial" w:cs="Arial"/>
                      <w:color w:val="000000"/>
                      <w:sz w:val="23"/>
                      <w:szCs w:val="23"/>
                    </w:rPr>
                    <w:t>rticipating researchers prepare</w:t>
                  </w:r>
                  <w:r w:rsidRPr="00D53B87">
                    <w:rPr>
                      <w:rFonts w:ascii="Arial" w:eastAsiaTheme="minorHAnsi" w:hAnsi="Arial" w:cs="Arial"/>
                      <w:color w:val="000000"/>
                      <w:sz w:val="23"/>
                      <w:szCs w:val="23"/>
                    </w:rPr>
                    <w:t xml:space="preserve"> evidence portfolios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p w:rsidR="00D53B87" w:rsidRPr="00D53B87" w:rsidRDefault="000406AD" w:rsidP="004925C2">
                  <w:pPr>
                    <w:autoSpaceDE w:val="0"/>
                    <w:autoSpaceDN w:val="0"/>
                    <w:adjustRightInd w:val="0"/>
                    <w:spacing w:after="0" w:line="240" w:lineRule="auto"/>
                    <w:jc w:val="both"/>
                    <w:rPr>
                      <w:rFonts w:ascii="Arial" w:eastAsiaTheme="minorHAnsi" w:hAnsi="Arial" w:cs="Arial"/>
                      <w:color w:val="000000"/>
                      <w:sz w:val="23"/>
                      <w:szCs w:val="23"/>
                    </w:rPr>
                  </w:pPr>
                  <w:r>
                    <w:rPr>
                      <w:rFonts w:ascii="Arial" w:eastAsiaTheme="minorHAnsi" w:hAnsi="Arial" w:cs="Arial"/>
                      <w:color w:val="000000"/>
                      <w:sz w:val="23"/>
                      <w:szCs w:val="23"/>
                    </w:rPr>
                    <w:t>4. By 20 July 2018</w:t>
                  </w:r>
                  <w:r w:rsidR="002B3CF5">
                    <w:rPr>
                      <w:rFonts w:ascii="Arial" w:eastAsiaTheme="minorHAnsi" w:hAnsi="Arial" w:cs="Arial"/>
                      <w:color w:val="000000"/>
                      <w:sz w:val="23"/>
                      <w:szCs w:val="23"/>
                    </w:rPr>
                    <w:t>, TEOs submit EPs that are</w:t>
                  </w:r>
                  <w:r w:rsidR="00D53B87" w:rsidRPr="00D53B87">
                    <w:rPr>
                      <w:rFonts w:ascii="Arial" w:eastAsiaTheme="minorHAnsi" w:hAnsi="Arial" w:cs="Arial"/>
                      <w:color w:val="000000"/>
                      <w:sz w:val="23"/>
                      <w:szCs w:val="23"/>
                    </w:rPr>
                    <w:t xml:space="preserve"> likely to meet the requirements for</w:t>
                  </w:r>
                  <w:r w:rsidR="002B3CF5">
                    <w:rPr>
                      <w:rFonts w:ascii="Arial" w:eastAsiaTheme="minorHAnsi" w:hAnsi="Arial" w:cs="Arial"/>
                      <w:color w:val="000000"/>
                      <w:sz w:val="23"/>
                      <w:szCs w:val="23"/>
                    </w:rPr>
                    <w:t xml:space="preserve"> a funded Quality Category</w:t>
                  </w:r>
                  <w:r w:rsidR="00D53B87" w:rsidRPr="00D53B87">
                    <w:rPr>
                      <w:rFonts w:ascii="Arial" w:eastAsiaTheme="minorHAnsi" w:hAnsi="Arial" w:cs="Arial"/>
                      <w:color w:val="000000"/>
                      <w:sz w:val="23"/>
                      <w:szCs w:val="23"/>
                    </w:rPr>
                    <w:t xml:space="preserve"> to the TEC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p w:rsidR="00D53B87" w:rsidRPr="00D53B87" w:rsidRDefault="002B3CF5" w:rsidP="004925C2">
                  <w:pPr>
                    <w:autoSpaceDE w:val="0"/>
                    <w:autoSpaceDN w:val="0"/>
                    <w:adjustRightInd w:val="0"/>
                    <w:spacing w:after="0" w:line="240" w:lineRule="auto"/>
                    <w:jc w:val="both"/>
                    <w:rPr>
                      <w:rFonts w:ascii="Arial" w:eastAsiaTheme="minorHAnsi" w:hAnsi="Arial" w:cs="Arial"/>
                      <w:color w:val="000000"/>
                      <w:sz w:val="23"/>
                      <w:szCs w:val="23"/>
                    </w:rPr>
                  </w:pPr>
                  <w:r>
                    <w:rPr>
                      <w:rFonts w:ascii="Arial" w:eastAsiaTheme="minorHAnsi" w:hAnsi="Arial" w:cs="Arial"/>
                      <w:color w:val="000000"/>
                      <w:sz w:val="23"/>
                      <w:szCs w:val="23"/>
                    </w:rPr>
                    <w:t>5. The TEC check EP data and assign</w:t>
                  </w:r>
                  <w:r w:rsidR="00D53B87" w:rsidRPr="00D53B87">
                    <w:rPr>
                      <w:rFonts w:ascii="Arial" w:eastAsiaTheme="minorHAnsi" w:hAnsi="Arial" w:cs="Arial"/>
                      <w:color w:val="000000"/>
                      <w:sz w:val="23"/>
                      <w:szCs w:val="23"/>
                    </w:rPr>
                    <w:t xml:space="preserve"> EPs to panels.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r w:rsidRPr="00D53B87">
                    <w:rPr>
                      <w:rFonts w:ascii="Arial" w:eastAsiaTheme="minorHAnsi" w:hAnsi="Arial" w:cs="Arial"/>
                      <w:color w:val="000000"/>
                      <w:sz w:val="23"/>
                      <w:szCs w:val="23"/>
                    </w:rPr>
                    <w:t>6. Pe</w:t>
                  </w:r>
                  <w:r w:rsidR="00644F3F">
                    <w:rPr>
                      <w:rFonts w:ascii="Arial" w:eastAsiaTheme="minorHAnsi" w:hAnsi="Arial" w:cs="Arial"/>
                      <w:color w:val="000000"/>
                      <w:sz w:val="23"/>
                      <w:szCs w:val="23"/>
                    </w:rPr>
                    <w:t>er-review panel members assess</w:t>
                  </w:r>
                  <w:r w:rsidRPr="00D53B87">
                    <w:rPr>
                      <w:rFonts w:ascii="Arial" w:eastAsiaTheme="minorHAnsi" w:hAnsi="Arial" w:cs="Arial"/>
                      <w:color w:val="000000"/>
                      <w:sz w:val="23"/>
                      <w:szCs w:val="23"/>
                    </w:rPr>
                    <w:t xml:space="preserve"> the EPs before meeting, and then meet to assign Quality Categories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p w:rsidR="00D53B87" w:rsidRPr="00D53B87" w:rsidRDefault="00644F3F" w:rsidP="004925C2">
                  <w:pPr>
                    <w:autoSpaceDE w:val="0"/>
                    <w:autoSpaceDN w:val="0"/>
                    <w:adjustRightInd w:val="0"/>
                    <w:spacing w:after="0" w:line="240" w:lineRule="auto"/>
                    <w:jc w:val="both"/>
                    <w:rPr>
                      <w:rFonts w:ascii="Arial" w:eastAsiaTheme="minorHAnsi" w:hAnsi="Arial" w:cs="Arial"/>
                      <w:color w:val="000000"/>
                      <w:sz w:val="23"/>
                      <w:szCs w:val="23"/>
                    </w:rPr>
                  </w:pPr>
                  <w:r>
                    <w:rPr>
                      <w:rFonts w:ascii="Arial" w:eastAsiaTheme="minorHAnsi" w:hAnsi="Arial" w:cs="Arial"/>
                      <w:color w:val="000000"/>
                      <w:sz w:val="23"/>
                      <w:szCs w:val="23"/>
                    </w:rPr>
                    <w:t>7. EP Quality Categories are</w:t>
                  </w:r>
                  <w:r w:rsidR="00D53B87" w:rsidRPr="00D53B87">
                    <w:rPr>
                      <w:rFonts w:ascii="Arial" w:eastAsiaTheme="minorHAnsi" w:hAnsi="Arial" w:cs="Arial"/>
                      <w:color w:val="000000"/>
                      <w:sz w:val="23"/>
                      <w:szCs w:val="23"/>
                    </w:rPr>
                    <w:t xml:space="preserve"> moderated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p w:rsidR="00D53B87" w:rsidRPr="00D53B87" w:rsidRDefault="00644F3F" w:rsidP="004925C2">
                  <w:pPr>
                    <w:autoSpaceDE w:val="0"/>
                    <w:autoSpaceDN w:val="0"/>
                    <w:adjustRightInd w:val="0"/>
                    <w:spacing w:after="0" w:line="240" w:lineRule="auto"/>
                    <w:jc w:val="both"/>
                    <w:rPr>
                      <w:rFonts w:ascii="Arial" w:eastAsiaTheme="minorHAnsi" w:hAnsi="Arial" w:cs="Arial"/>
                      <w:color w:val="000000"/>
                      <w:sz w:val="23"/>
                      <w:szCs w:val="23"/>
                    </w:rPr>
                  </w:pPr>
                  <w:r>
                    <w:rPr>
                      <w:rFonts w:ascii="Arial" w:eastAsiaTheme="minorHAnsi" w:hAnsi="Arial" w:cs="Arial"/>
                      <w:color w:val="000000"/>
                      <w:sz w:val="23"/>
                      <w:szCs w:val="23"/>
                    </w:rPr>
                    <w:t>8. The TEC Board approve</w:t>
                  </w:r>
                  <w:r w:rsidR="00D53B87" w:rsidRPr="00D53B87">
                    <w:rPr>
                      <w:rFonts w:ascii="Arial" w:eastAsiaTheme="minorHAnsi" w:hAnsi="Arial" w:cs="Arial"/>
                      <w:color w:val="000000"/>
                      <w:sz w:val="23"/>
                      <w:szCs w:val="23"/>
                    </w:rPr>
                    <w:t xml:space="preserve"> the results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p w:rsidR="00D53B87" w:rsidRPr="00D53B87" w:rsidRDefault="00644F3F" w:rsidP="004925C2">
                  <w:pPr>
                    <w:autoSpaceDE w:val="0"/>
                    <w:autoSpaceDN w:val="0"/>
                    <w:adjustRightInd w:val="0"/>
                    <w:spacing w:after="0" w:line="240" w:lineRule="auto"/>
                    <w:jc w:val="both"/>
                    <w:rPr>
                      <w:rFonts w:ascii="Arial" w:eastAsiaTheme="minorHAnsi" w:hAnsi="Arial" w:cs="Arial"/>
                      <w:color w:val="000000"/>
                      <w:sz w:val="23"/>
                      <w:szCs w:val="23"/>
                    </w:rPr>
                  </w:pPr>
                  <w:r>
                    <w:rPr>
                      <w:rFonts w:ascii="Arial" w:eastAsiaTheme="minorHAnsi" w:hAnsi="Arial" w:cs="Arial"/>
                      <w:color w:val="000000"/>
                      <w:sz w:val="23"/>
                      <w:szCs w:val="23"/>
                    </w:rPr>
                    <w:t>9. The TEC send</w:t>
                  </w:r>
                  <w:r w:rsidR="00D53B87" w:rsidRPr="00D53B87">
                    <w:rPr>
                      <w:rFonts w:ascii="Arial" w:eastAsiaTheme="minorHAnsi" w:hAnsi="Arial" w:cs="Arial"/>
                      <w:color w:val="000000"/>
                      <w:sz w:val="23"/>
                      <w:szCs w:val="23"/>
                    </w:rPr>
                    <w:t xml:space="preserve"> </w:t>
                  </w:r>
                  <w:r>
                    <w:rPr>
                      <w:rFonts w:ascii="Arial" w:eastAsiaTheme="minorHAnsi" w:hAnsi="Arial" w:cs="Arial"/>
                      <w:color w:val="000000"/>
                      <w:sz w:val="23"/>
                      <w:szCs w:val="23"/>
                    </w:rPr>
                    <w:t>results to the TEOs and release</w:t>
                  </w:r>
                  <w:r w:rsidR="00D53B87" w:rsidRPr="00D53B87">
                    <w:rPr>
                      <w:rFonts w:ascii="Arial" w:eastAsiaTheme="minorHAnsi" w:hAnsi="Arial" w:cs="Arial"/>
                      <w:color w:val="000000"/>
                      <w:sz w:val="23"/>
                      <w:szCs w:val="23"/>
                    </w:rPr>
                    <w:t xml:space="preserve"> the public report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r w:rsidRPr="00D53B87">
                    <w:rPr>
                      <w:rFonts w:ascii="Arial" w:eastAsiaTheme="minorHAnsi" w:hAnsi="Arial" w:cs="Arial"/>
                      <w:color w:val="000000"/>
                      <w:sz w:val="23"/>
                      <w:szCs w:val="23"/>
                    </w:rPr>
                    <w:t xml:space="preserve">10. Complaints were dealt with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p>
              </w:tc>
            </w:tr>
            <w:tr w:rsidR="00D53B87" w:rsidRPr="00D53B87" w:rsidTr="00F42AAE">
              <w:trPr>
                <w:gridAfter w:val="1"/>
                <w:wAfter w:w="142" w:type="dxa"/>
                <w:trHeight w:val="3363"/>
              </w:trPr>
              <w:tc>
                <w:tcPr>
                  <w:tcW w:w="9072" w:type="dxa"/>
                </w:tcPr>
                <w:p w:rsidR="00D53B87" w:rsidRPr="00D53B87" w:rsidRDefault="00D53B87" w:rsidP="004925C2">
                  <w:pPr>
                    <w:autoSpaceDE w:val="0"/>
                    <w:autoSpaceDN w:val="0"/>
                    <w:adjustRightInd w:val="0"/>
                    <w:spacing w:after="0" w:line="240" w:lineRule="auto"/>
                    <w:jc w:val="both"/>
                    <w:rPr>
                      <w:rFonts w:ascii="Arial" w:eastAsiaTheme="minorHAnsi" w:hAnsi="Arial" w:cs="Arial"/>
                      <w:b/>
                      <w:bCs/>
                      <w:color w:val="000000"/>
                      <w:sz w:val="28"/>
                      <w:szCs w:val="28"/>
                    </w:rPr>
                  </w:pP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8"/>
                      <w:szCs w:val="28"/>
                    </w:rPr>
                  </w:pPr>
                  <w:r w:rsidRPr="00D53B87">
                    <w:rPr>
                      <w:rFonts w:ascii="Arial" w:eastAsiaTheme="minorHAnsi" w:hAnsi="Arial" w:cs="Arial"/>
                      <w:b/>
                      <w:bCs/>
                      <w:color w:val="000000"/>
                      <w:sz w:val="28"/>
                      <w:szCs w:val="28"/>
                    </w:rPr>
                    <w:t xml:space="preserve">What is an EP?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r w:rsidRPr="00D53B87">
                    <w:rPr>
                      <w:rFonts w:ascii="Arial" w:eastAsiaTheme="minorHAnsi" w:hAnsi="Arial" w:cs="Arial"/>
                      <w:color w:val="000000"/>
                      <w:sz w:val="23"/>
                      <w:szCs w:val="23"/>
                    </w:rPr>
                    <w:t xml:space="preserve">An evidence portfolio is like a research CV. The three components (see below) together give you an opportunity to say, “Here is my very best research, and here are the other ways I can show what I’ve been doing in the research environment over the past six years.” The “very best things” are your nominated research outputs and the “other ways” are the “other research outputs”, “peer esteem”, and “contribution to research environment” parts of the EP. </w:t>
                  </w:r>
                </w:p>
                <w:p w:rsidR="00D53B87" w:rsidRPr="00D53B87" w:rsidRDefault="00D53B87" w:rsidP="004925C2">
                  <w:pPr>
                    <w:autoSpaceDE w:val="0"/>
                    <w:autoSpaceDN w:val="0"/>
                    <w:adjustRightInd w:val="0"/>
                    <w:spacing w:after="0" w:line="240" w:lineRule="auto"/>
                    <w:jc w:val="both"/>
                    <w:rPr>
                      <w:rFonts w:ascii="Arial" w:eastAsiaTheme="minorHAnsi" w:hAnsi="Arial" w:cs="Arial"/>
                      <w:b/>
                      <w:bCs/>
                      <w:color w:val="000000"/>
                      <w:sz w:val="28"/>
                      <w:szCs w:val="28"/>
                    </w:rPr>
                  </w:pPr>
                </w:p>
                <w:p w:rsidR="00D53B87" w:rsidRPr="00D53B87" w:rsidRDefault="00D53B87" w:rsidP="004925C2">
                  <w:pPr>
                    <w:autoSpaceDE w:val="0"/>
                    <w:autoSpaceDN w:val="0"/>
                    <w:adjustRightInd w:val="0"/>
                    <w:spacing w:after="0" w:line="240" w:lineRule="auto"/>
                    <w:jc w:val="both"/>
                    <w:rPr>
                      <w:rFonts w:ascii="Arial" w:eastAsiaTheme="minorHAnsi" w:hAnsi="Arial" w:cs="Arial"/>
                      <w:b/>
                      <w:bCs/>
                      <w:color w:val="000000"/>
                      <w:sz w:val="28"/>
                      <w:szCs w:val="28"/>
                    </w:rPr>
                  </w:pP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8"/>
                      <w:szCs w:val="28"/>
                    </w:rPr>
                  </w:pPr>
                  <w:r w:rsidRPr="00D53B87">
                    <w:rPr>
                      <w:rFonts w:ascii="Arial" w:eastAsiaTheme="minorHAnsi" w:hAnsi="Arial" w:cs="Arial"/>
                      <w:b/>
                      <w:bCs/>
                      <w:color w:val="000000"/>
                      <w:sz w:val="28"/>
                      <w:szCs w:val="28"/>
                    </w:rPr>
                    <w:t xml:space="preserve">Why is the EP so important? </w:t>
                  </w:r>
                </w:p>
                <w:p w:rsidR="00D53B87" w:rsidRPr="00D53B87" w:rsidRDefault="00D53B87" w:rsidP="004925C2">
                  <w:pPr>
                    <w:autoSpaceDE w:val="0"/>
                    <w:autoSpaceDN w:val="0"/>
                    <w:adjustRightInd w:val="0"/>
                    <w:spacing w:after="0" w:line="240" w:lineRule="auto"/>
                    <w:jc w:val="both"/>
                    <w:rPr>
                      <w:rFonts w:ascii="Arial" w:eastAsiaTheme="minorHAnsi" w:hAnsi="Arial" w:cs="Arial"/>
                      <w:color w:val="000000"/>
                      <w:sz w:val="23"/>
                      <w:szCs w:val="23"/>
                    </w:rPr>
                  </w:pPr>
                  <w:r w:rsidRPr="00D53B87">
                    <w:rPr>
                      <w:rFonts w:ascii="Arial" w:eastAsiaTheme="minorHAnsi" w:hAnsi="Arial" w:cs="Arial"/>
                      <w:color w:val="000000"/>
                      <w:sz w:val="23"/>
                      <w:szCs w:val="23"/>
                    </w:rPr>
                    <w:t xml:space="preserve">Submitting an accurate, high-quality EP is crucial. The EP affects the quality scores assigned to TEOs, subjects, and nominated academic units, as well as the funding assigned to TEOs. The Quality Evaluation measure is used to allocate 60 percent of PBRF funding, so completing EPs accurately and adhering closely to the Guidelines is </w:t>
                  </w:r>
                  <w:r w:rsidRPr="00D53B87">
                    <w:rPr>
                      <w:rFonts w:ascii="Arial" w:eastAsiaTheme="minorHAnsi" w:hAnsi="Arial" w:cs="Arial"/>
                      <w:color w:val="000000"/>
                      <w:sz w:val="23"/>
                      <w:szCs w:val="23"/>
                    </w:rPr>
                    <w:lastRenderedPageBreak/>
                    <w:t xml:space="preserve">critical. </w:t>
                  </w:r>
                </w:p>
              </w:tc>
            </w:tr>
          </w:tbl>
          <w:p w:rsidR="00D53B87" w:rsidRPr="00D53B87" w:rsidRDefault="00D53B87" w:rsidP="004925C2">
            <w:pPr>
              <w:pStyle w:val="Default"/>
              <w:jc w:val="both"/>
              <w:rPr>
                <w:rFonts w:eastAsiaTheme="minorHAnsi"/>
                <w:b/>
                <w:sz w:val="23"/>
                <w:szCs w:val="23"/>
              </w:rPr>
            </w:pPr>
          </w:p>
        </w:tc>
      </w:tr>
    </w:tbl>
    <w:p w:rsidR="008E1DED" w:rsidRDefault="008E1DED" w:rsidP="00D53B87">
      <w:pPr>
        <w:jc w:val="both"/>
      </w:pPr>
    </w:p>
    <w:tbl>
      <w:tblPr>
        <w:tblW w:w="11610"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7396"/>
        <w:gridCol w:w="2107"/>
        <w:gridCol w:w="2107"/>
      </w:tblGrid>
      <w:tr w:rsidR="00F35CA1" w:rsidRPr="00F35CA1" w:rsidTr="00F42AAE">
        <w:trPr>
          <w:trHeight w:val="241"/>
        </w:trPr>
        <w:tc>
          <w:tcPr>
            <w:tcW w:w="11610" w:type="dxa"/>
            <w:gridSpan w:val="2"/>
            <w:tcBorders>
              <w:top w:val="nil"/>
              <w:left w:val="nil"/>
              <w:bottom w:val="nil"/>
              <w:right w:val="nil"/>
            </w:tcBorders>
          </w:tcPr>
          <w:p w:rsidR="008E1DED" w:rsidRDefault="00F35CA1" w:rsidP="00F35CA1">
            <w:pPr>
              <w:autoSpaceDE w:val="0"/>
              <w:autoSpaceDN w:val="0"/>
              <w:adjustRightInd w:val="0"/>
              <w:spacing w:after="0" w:line="240" w:lineRule="auto"/>
              <w:jc w:val="both"/>
              <w:rPr>
                <w:rFonts w:ascii="Arial" w:hAnsi="Arial" w:cs="Arial"/>
                <w:b/>
                <w:bCs/>
                <w:color w:val="000000"/>
                <w:sz w:val="28"/>
                <w:szCs w:val="28"/>
              </w:rPr>
            </w:pPr>
            <w:r w:rsidRPr="00F35CA1">
              <w:rPr>
                <w:rFonts w:ascii="Arial" w:hAnsi="Arial" w:cs="Arial"/>
                <w:b/>
                <w:bCs/>
                <w:color w:val="000000"/>
                <w:sz w:val="28"/>
                <w:szCs w:val="28"/>
              </w:rPr>
              <w:t xml:space="preserve">The three evidence portfolio components </w:t>
            </w:r>
          </w:p>
          <w:p w:rsidR="00F35CA1" w:rsidRPr="00F35CA1" w:rsidRDefault="00F35CA1" w:rsidP="00F35CA1">
            <w:pPr>
              <w:autoSpaceDE w:val="0"/>
              <w:autoSpaceDN w:val="0"/>
              <w:adjustRightInd w:val="0"/>
              <w:spacing w:after="0" w:line="240" w:lineRule="auto"/>
              <w:jc w:val="both"/>
              <w:rPr>
                <w:rFonts w:ascii="Arial" w:hAnsi="Arial" w:cs="Arial"/>
                <w:color w:val="000000"/>
                <w:sz w:val="23"/>
                <w:szCs w:val="23"/>
              </w:rPr>
            </w:pPr>
            <w:r w:rsidRPr="00F35CA1">
              <w:rPr>
                <w:rFonts w:ascii="Arial" w:hAnsi="Arial" w:cs="Arial"/>
                <w:color w:val="000000"/>
                <w:sz w:val="23"/>
                <w:szCs w:val="23"/>
              </w:rPr>
              <w:t xml:space="preserve">The EP is made up of these three key components, which have very different weightings. </w:t>
            </w:r>
          </w:p>
        </w:tc>
        <w:tc>
          <w:tcPr>
            <w:tcW w:w="360" w:type="dxa"/>
          </w:tcPr>
          <w:p w:rsidR="00F35CA1" w:rsidRPr="00F35CA1" w:rsidRDefault="00F35CA1">
            <w:pPr>
              <w:spacing w:after="0" w:line="240" w:lineRule="auto"/>
            </w:pPr>
            <w:r w:rsidRPr="00F35CA1">
              <w:rPr>
                <w:sz w:val="23"/>
                <w:szCs w:val="23"/>
              </w:rPr>
              <w:t xml:space="preserve"> </w:t>
            </w:r>
          </w:p>
        </w:tc>
      </w:tr>
      <w:tr w:rsidR="00F35CA1" w:rsidRPr="00F35CA1" w:rsidTr="00F42AAE">
        <w:trPr>
          <w:gridAfter w:val="1"/>
          <w:wAfter w:w="2571" w:type="dxa"/>
          <w:trHeight w:val="638"/>
        </w:trPr>
        <w:tc>
          <w:tcPr>
            <w:tcW w:w="9039" w:type="dxa"/>
            <w:tcBorders>
              <w:top w:val="nil"/>
              <w:left w:val="nil"/>
              <w:bottom w:val="nil"/>
              <w:right w:val="nil"/>
            </w:tcBorders>
          </w:tcPr>
          <w:p w:rsidR="00F35CA1" w:rsidRDefault="00F35CA1" w:rsidP="00F35CA1">
            <w:pPr>
              <w:autoSpaceDE w:val="0"/>
              <w:autoSpaceDN w:val="0"/>
              <w:adjustRightInd w:val="0"/>
              <w:spacing w:after="0" w:line="240" w:lineRule="auto"/>
              <w:jc w:val="both"/>
              <w:rPr>
                <w:rFonts w:ascii="Arial" w:hAnsi="Arial" w:cs="Arial"/>
                <w:sz w:val="24"/>
                <w:szCs w:val="24"/>
              </w:rPr>
            </w:pPr>
            <w:r w:rsidRPr="00F35CA1">
              <w:rPr>
                <w:rFonts w:ascii="Arial" w:hAnsi="Arial" w:cs="Arial"/>
                <w:sz w:val="24"/>
                <w:szCs w:val="24"/>
              </w:rPr>
              <w:t xml:space="preserve"> </w:t>
            </w:r>
          </w:p>
          <w:p w:rsidR="00F35CA1" w:rsidRPr="00F35CA1" w:rsidRDefault="00F35CA1" w:rsidP="00F35CA1">
            <w:pPr>
              <w:autoSpaceDE w:val="0"/>
              <w:autoSpaceDN w:val="0"/>
              <w:adjustRightInd w:val="0"/>
              <w:spacing w:after="0" w:line="240" w:lineRule="auto"/>
              <w:jc w:val="both"/>
              <w:rPr>
                <w:rFonts w:ascii="Arial" w:hAnsi="Arial" w:cs="Arial"/>
                <w:color w:val="000000"/>
                <w:sz w:val="23"/>
                <w:szCs w:val="23"/>
              </w:rPr>
            </w:pPr>
            <w:r w:rsidRPr="00F35CA1">
              <w:rPr>
                <w:rFonts w:ascii="Arial" w:hAnsi="Arial" w:cs="Arial"/>
                <w:b/>
                <w:bCs/>
                <w:color w:val="000000"/>
                <w:sz w:val="23"/>
                <w:szCs w:val="23"/>
              </w:rPr>
              <w:t xml:space="preserve">Research outputs (RO) </w:t>
            </w:r>
          </w:p>
          <w:p w:rsidR="00F35CA1" w:rsidRPr="00F35CA1" w:rsidRDefault="00F35CA1" w:rsidP="00F35CA1">
            <w:pPr>
              <w:autoSpaceDE w:val="0"/>
              <w:autoSpaceDN w:val="0"/>
              <w:adjustRightInd w:val="0"/>
              <w:spacing w:after="0" w:line="240" w:lineRule="auto"/>
              <w:jc w:val="both"/>
              <w:rPr>
                <w:rFonts w:ascii="Arial" w:hAnsi="Arial" w:cs="Arial"/>
                <w:color w:val="000000"/>
                <w:sz w:val="23"/>
                <w:szCs w:val="23"/>
              </w:rPr>
            </w:pPr>
            <w:r w:rsidRPr="00F35CA1">
              <w:rPr>
                <w:rFonts w:ascii="Arial" w:hAnsi="Arial" w:cs="Arial"/>
                <w:color w:val="000000"/>
                <w:sz w:val="23"/>
                <w:szCs w:val="23"/>
              </w:rPr>
              <w:t>This consist of up to four of the best pieces of work you have produced in the assessment period – these are your nominated resear</w:t>
            </w:r>
            <w:r w:rsidR="00644F3F">
              <w:rPr>
                <w:rFonts w:ascii="Arial" w:hAnsi="Arial" w:cs="Arial"/>
                <w:color w:val="000000"/>
                <w:sz w:val="23"/>
                <w:szCs w:val="23"/>
              </w:rPr>
              <w:t>ch outputs (NROs) – and up to 12</w:t>
            </w:r>
            <w:r w:rsidRPr="00F35CA1">
              <w:rPr>
                <w:rFonts w:ascii="Arial" w:hAnsi="Arial" w:cs="Arial"/>
                <w:color w:val="000000"/>
                <w:sz w:val="23"/>
                <w:szCs w:val="23"/>
              </w:rPr>
              <w:t xml:space="preserve"> other research outputs. The research output carried a 70% weighting </w:t>
            </w:r>
          </w:p>
        </w:tc>
        <w:tc>
          <w:tcPr>
            <w:tcW w:w="2571" w:type="dxa"/>
          </w:tcPr>
          <w:p w:rsidR="00F35CA1" w:rsidRPr="00F35CA1" w:rsidRDefault="00F35CA1">
            <w:pPr>
              <w:spacing w:after="0" w:line="240" w:lineRule="auto"/>
            </w:pPr>
            <w:r w:rsidRPr="00F35CA1">
              <w:rPr>
                <w:sz w:val="23"/>
                <w:szCs w:val="23"/>
              </w:rPr>
              <w:t xml:space="preserve"> </w:t>
            </w:r>
          </w:p>
        </w:tc>
      </w:tr>
      <w:tr w:rsidR="00F35CA1" w:rsidRPr="00F35CA1" w:rsidTr="00F42AAE">
        <w:trPr>
          <w:gridAfter w:val="1"/>
          <w:wAfter w:w="2571" w:type="dxa"/>
          <w:trHeight w:val="638"/>
        </w:trPr>
        <w:tc>
          <w:tcPr>
            <w:tcW w:w="9039" w:type="dxa"/>
            <w:tcBorders>
              <w:top w:val="nil"/>
              <w:left w:val="nil"/>
              <w:bottom w:val="nil"/>
              <w:right w:val="nil"/>
            </w:tcBorders>
          </w:tcPr>
          <w:p w:rsidR="00F35CA1" w:rsidRPr="00644F3F" w:rsidRDefault="00F35CA1" w:rsidP="00F35CA1">
            <w:pPr>
              <w:autoSpaceDE w:val="0"/>
              <w:autoSpaceDN w:val="0"/>
              <w:adjustRightInd w:val="0"/>
              <w:spacing w:after="0" w:line="240" w:lineRule="auto"/>
              <w:jc w:val="both"/>
              <w:rPr>
                <w:rFonts w:ascii="Arial" w:hAnsi="Arial" w:cs="Arial"/>
                <w:i/>
                <w:sz w:val="24"/>
                <w:szCs w:val="24"/>
              </w:rPr>
            </w:pPr>
            <w:r w:rsidRPr="00644F3F">
              <w:rPr>
                <w:rFonts w:ascii="Arial" w:hAnsi="Arial" w:cs="Arial"/>
                <w:i/>
                <w:sz w:val="24"/>
                <w:szCs w:val="24"/>
              </w:rPr>
              <w:t xml:space="preserve"> </w:t>
            </w:r>
          </w:p>
          <w:p w:rsidR="00F35CA1" w:rsidRPr="00644F3F" w:rsidRDefault="00F35CA1" w:rsidP="00F35CA1">
            <w:pPr>
              <w:autoSpaceDE w:val="0"/>
              <w:autoSpaceDN w:val="0"/>
              <w:adjustRightInd w:val="0"/>
              <w:spacing w:after="0" w:line="240" w:lineRule="auto"/>
              <w:jc w:val="both"/>
              <w:rPr>
                <w:rFonts w:ascii="Arial" w:hAnsi="Arial" w:cs="Arial"/>
                <w:i/>
                <w:color w:val="000000"/>
                <w:sz w:val="23"/>
                <w:szCs w:val="23"/>
              </w:rPr>
            </w:pPr>
            <w:r w:rsidRPr="00644F3F">
              <w:rPr>
                <w:rFonts w:ascii="Arial" w:hAnsi="Arial" w:cs="Arial"/>
                <w:b/>
                <w:bCs/>
                <w:i/>
                <w:color w:val="000000"/>
                <w:sz w:val="23"/>
                <w:szCs w:val="23"/>
              </w:rPr>
              <w:t xml:space="preserve">Peer esteem (PE) </w:t>
            </w:r>
            <w:r w:rsidR="00644F3F" w:rsidRPr="00644F3F">
              <w:rPr>
                <w:rFonts w:ascii="Arial" w:hAnsi="Arial" w:cs="Arial"/>
                <w:b/>
                <w:bCs/>
                <w:i/>
                <w:color w:val="000000"/>
                <w:sz w:val="23"/>
                <w:szCs w:val="23"/>
              </w:rPr>
              <w:t>– under revision for 2018</w:t>
            </w:r>
          </w:p>
          <w:p w:rsidR="00F35CA1" w:rsidRPr="00644F3F" w:rsidRDefault="00F35CA1" w:rsidP="00F35CA1">
            <w:pPr>
              <w:autoSpaceDE w:val="0"/>
              <w:autoSpaceDN w:val="0"/>
              <w:adjustRightInd w:val="0"/>
              <w:spacing w:after="0" w:line="240" w:lineRule="auto"/>
              <w:jc w:val="both"/>
              <w:rPr>
                <w:rFonts w:ascii="Arial" w:hAnsi="Arial" w:cs="Arial"/>
                <w:i/>
                <w:color w:val="000000"/>
                <w:sz w:val="23"/>
                <w:szCs w:val="23"/>
              </w:rPr>
            </w:pPr>
            <w:r w:rsidRPr="00644F3F">
              <w:rPr>
                <w:rFonts w:ascii="Arial" w:hAnsi="Arial" w:cs="Arial"/>
                <w:i/>
                <w:color w:val="000000"/>
                <w:sz w:val="23"/>
                <w:szCs w:val="23"/>
              </w:rPr>
              <w:t xml:space="preserve">This is about how others view you as a researcher – for example, whether you are a member of relevant societies, have been invited as a speaker to conferences, or have been awarded fellowships. This component carries a 15% weighting </w:t>
            </w:r>
          </w:p>
        </w:tc>
        <w:tc>
          <w:tcPr>
            <w:tcW w:w="2571" w:type="dxa"/>
          </w:tcPr>
          <w:p w:rsidR="00F35CA1" w:rsidRPr="00F35CA1" w:rsidRDefault="00F35CA1">
            <w:pPr>
              <w:spacing w:after="0" w:line="240" w:lineRule="auto"/>
            </w:pPr>
            <w:r w:rsidRPr="00F35CA1">
              <w:rPr>
                <w:sz w:val="23"/>
                <w:szCs w:val="23"/>
              </w:rPr>
              <w:t xml:space="preserve"> </w:t>
            </w:r>
          </w:p>
        </w:tc>
      </w:tr>
      <w:tr w:rsidR="00F35CA1" w:rsidRPr="00F35CA1" w:rsidTr="00F42AAE">
        <w:trPr>
          <w:gridAfter w:val="1"/>
          <w:wAfter w:w="2571" w:type="dxa"/>
          <w:trHeight w:val="902"/>
        </w:trPr>
        <w:tc>
          <w:tcPr>
            <w:tcW w:w="9039" w:type="dxa"/>
            <w:tcBorders>
              <w:top w:val="nil"/>
              <w:left w:val="nil"/>
              <w:bottom w:val="nil"/>
              <w:right w:val="nil"/>
            </w:tcBorders>
          </w:tcPr>
          <w:p w:rsidR="00F35CA1" w:rsidRPr="00644F3F" w:rsidRDefault="00F35CA1" w:rsidP="00F35CA1">
            <w:pPr>
              <w:autoSpaceDE w:val="0"/>
              <w:autoSpaceDN w:val="0"/>
              <w:adjustRightInd w:val="0"/>
              <w:spacing w:after="0" w:line="240" w:lineRule="auto"/>
              <w:jc w:val="both"/>
              <w:rPr>
                <w:rFonts w:ascii="Arial" w:hAnsi="Arial" w:cs="Arial"/>
                <w:i/>
                <w:sz w:val="24"/>
                <w:szCs w:val="24"/>
              </w:rPr>
            </w:pPr>
            <w:r w:rsidRPr="00644F3F">
              <w:rPr>
                <w:rFonts w:ascii="Arial" w:hAnsi="Arial" w:cs="Arial"/>
                <w:i/>
                <w:sz w:val="24"/>
                <w:szCs w:val="24"/>
              </w:rPr>
              <w:t xml:space="preserve"> </w:t>
            </w:r>
          </w:p>
          <w:p w:rsidR="00F35CA1" w:rsidRPr="00644F3F" w:rsidRDefault="00F35CA1" w:rsidP="00F35CA1">
            <w:pPr>
              <w:autoSpaceDE w:val="0"/>
              <w:autoSpaceDN w:val="0"/>
              <w:adjustRightInd w:val="0"/>
              <w:spacing w:after="0" w:line="240" w:lineRule="auto"/>
              <w:jc w:val="both"/>
              <w:rPr>
                <w:rFonts w:ascii="Arial" w:hAnsi="Arial" w:cs="Arial"/>
                <w:i/>
                <w:color w:val="000000"/>
                <w:sz w:val="23"/>
                <w:szCs w:val="23"/>
              </w:rPr>
            </w:pPr>
            <w:r w:rsidRPr="00644F3F">
              <w:rPr>
                <w:rFonts w:ascii="Arial" w:hAnsi="Arial" w:cs="Arial"/>
                <w:b/>
                <w:bCs/>
                <w:i/>
                <w:color w:val="000000"/>
                <w:sz w:val="23"/>
                <w:szCs w:val="23"/>
              </w:rPr>
              <w:t xml:space="preserve">Contribution to the research environment (CRE) </w:t>
            </w:r>
            <w:r w:rsidR="00644F3F" w:rsidRPr="00644F3F">
              <w:rPr>
                <w:rFonts w:ascii="Arial" w:hAnsi="Arial" w:cs="Arial"/>
                <w:b/>
                <w:bCs/>
                <w:i/>
                <w:color w:val="000000"/>
                <w:sz w:val="23"/>
                <w:szCs w:val="23"/>
              </w:rPr>
              <w:t>– under revision for 2018</w:t>
            </w:r>
          </w:p>
          <w:p w:rsidR="00F35CA1" w:rsidRPr="00644F3F" w:rsidRDefault="00F35CA1" w:rsidP="00F35CA1">
            <w:pPr>
              <w:autoSpaceDE w:val="0"/>
              <w:autoSpaceDN w:val="0"/>
              <w:adjustRightInd w:val="0"/>
              <w:spacing w:after="0" w:line="240" w:lineRule="auto"/>
              <w:jc w:val="both"/>
              <w:rPr>
                <w:rFonts w:ascii="Arial" w:hAnsi="Arial" w:cs="Arial"/>
                <w:i/>
                <w:color w:val="000000"/>
                <w:sz w:val="23"/>
                <w:szCs w:val="23"/>
              </w:rPr>
            </w:pPr>
            <w:r w:rsidRPr="00644F3F">
              <w:rPr>
                <w:rFonts w:ascii="Arial" w:hAnsi="Arial" w:cs="Arial"/>
                <w:i/>
                <w:color w:val="000000"/>
                <w:sz w:val="23"/>
                <w:szCs w:val="23"/>
              </w:rPr>
              <w:t xml:space="preserve">This relates to the contribution you are making to the research culture in your organisation, in New Zealand, and internationally. This could include organising conferences, performance events, or exhibitions, attracting external research income, or supervising masters or doctoral-level student research. This component carries a 15% weighting </w:t>
            </w:r>
          </w:p>
        </w:tc>
        <w:tc>
          <w:tcPr>
            <w:tcW w:w="2571" w:type="dxa"/>
          </w:tcPr>
          <w:p w:rsidR="00F35CA1" w:rsidRPr="00F35CA1" w:rsidRDefault="00F35CA1">
            <w:pPr>
              <w:spacing w:after="0" w:line="240" w:lineRule="auto"/>
            </w:pPr>
            <w:r w:rsidRPr="00F35CA1">
              <w:rPr>
                <w:sz w:val="23"/>
                <w:szCs w:val="23"/>
              </w:rPr>
              <w:t xml:space="preserve"> </w:t>
            </w:r>
          </w:p>
        </w:tc>
      </w:tr>
    </w:tbl>
    <w:p w:rsidR="00F35CA1" w:rsidRDefault="00F35CA1" w:rsidP="00F35CA1">
      <w:pPr>
        <w:jc w:val="both"/>
      </w:pPr>
      <w:bookmarkStart w:id="0" w:name="_GoBack"/>
      <w:bookmarkEnd w:id="0"/>
    </w:p>
    <w:sectPr w:rsidR="00F35CA1" w:rsidSect="0005114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93E" w:rsidRDefault="0012693E" w:rsidP="0012693E">
      <w:pPr>
        <w:spacing w:after="0" w:line="240" w:lineRule="auto"/>
      </w:pPr>
      <w:r>
        <w:separator/>
      </w:r>
    </w:p>
  </w:endnote>
  <w:endnote w:type="continuationSeparator" w:id="0">
    <w:p w:rsidR="0012693E" w:rsidRDefault="0012693E" w:rsidP="0012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36512"/>
      <w:docPartObj>
        <w:docPartGallery w:val="Page Numbers (Bottom of Page)"/>
        <w:docPartUnique/>
      </w:docPartObj>
    </w:sdtPr>
    <w:sdtEndPr/>
    <w:sdtContent>
      <w:sdt>
        <w:sdtPr>
          <w:id w:val="98381352"/>
          <w:docPartObj>
            <w:docPartGallery w:val="Page Numbers (Top of Page)"/>
            <w:docPartUnique/>
          </w:docPartObj>
        </w:sdtPr>
        <w:sdtEndPr/>
        <w:sdtContent>
          <w:p w:rsidR="0012693E" w:rsidRDefault="0012693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44F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4F3F">
              <w:rPr>
                <w:b/>
                <w:bCs/>
                <w:noProof/>
              </w:rPr>
              <w:t>3</w:t>
            </w:r>
            <w:r>
              <w:rPr>
                <w:b/>
                <w:bCs/>
                <w:sz w:val="24"/>
                <w:szCs w:val="24"/>
              </w:rPr>
              <w:fldChar w:fldCharType="end"/>
            </w:r>
          </w:p>
        </w:sdtContent>
      </w:sdt>
    </w:sdtContent>
  </w:sdt>
  <w:p w:rsidR="0012693E" w:rsidRDefault="00126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93E" w:rsidRDefault="0012693E" w:rsidP="0012693E">
      <w:pPr>
        <w:spacing w:after="0" w:line="240" w:lineRule="auto"/>
      </w:pPr>
      <w:r>
        <w:separator/>
      </w:r>
    </w:p>
  </w:footnote>
  <w:footnote w:type="continuationSeparator" w:id="0">
    <w:p w:rsidR="0012693E" w:rsidRDefault="0012693E" w:rsidP="00126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87"/>
    <w:rsid w:val="000273A7"/>
    <w:rsid w:val="000406AD"/>
    <w:rsid w:val="00051144"/>
    <w:rsid w:val="00116C1A"/>
    <w:rsid w:val="00124230"/>
    <w:rsid w:val="0012693E"/>
    <w:rsid w:val="00134007"/>
    <w:rsid w:val="001C7DFE"/>
    <w:rsid w:val="00290BCB"/>
    <w:rsid w:val="002B3CF5"/>
    <w:rsid w:val="002F4B51"/>
    <w:rsid w:val="003E50E8"/>
    <w:rsid w:val="003E5A61"/>
    <w:rsid w:val="004925C2"/>
    <w:rsid w:val="004D37CD"/>
    <w:rsid w:val="004F64E6"/>
    <w:rsid w:val="006140A6"/>
    <w:rsid w:val="00644F3F"/>
    <w:rsid w:val="006869B8"/>
    <w:rsid w:val="007F5DAE"/>
    <w:rsid w:val="00837168"/>
    <w:rsid w:val="008529DE"/>
    <w:rsid w:val="008E1DED"/>
    <w:rsid w:val="00943576"/>
    <w:rsid w:val="00955C93"/>
    <w:rsid w:val="00987963"/>
    <w:rsid w:val="00995B1A"/>
    <w:rsid w:val="009B5205"/>
    <w:rsid w:val="00AF3655"/>
    <w:rsid w:val="00B046C9"/>
    <w:rsid w:val="00B64D76"/>
    <w:rsid w:val="00B71029"/>
    <w:rsid w:val="00B970E0"/>
    <w:rsid w:val="00BA6B52"/>
    <w:rsid w:val="00D53B87"/>
    <w:rsid w:val="00D83738"/>
    <w:rsid w:val="00DD7D5C"/>
    <w:rsid w:val="00E87377"/>
    <w:rsid w:val="00E96C1C"/>
    <w:rsid w:val="00EC507E"/>
    <w:rsid w:val="00F35CA1"/>
    <w:rsid w:val="00F42AAE"/>
    <w:rsid w:val="00F85F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56D12-66DA-47B5-9B45-FDC49EC4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1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B87"/>
    <w:pPr>
      <w:autoSpaceDE w:val="0"/>
      <w:autoSpaceDN w:val="0"/>
      <w:adjustRightInd w:val="0"/>
    </w:pPr>
    <w:rPr>
      <w:rFonts w:ascii="Arial Black" w:hAnsi="Arial Black" w:cs="Arial Black"/>
      <w:color w:val="000000"/>
      <w:sz w:val="24"/>
      <w:szCs w:val="24"/>
    </w:rPr>
  </w:style>
  <w:style w:type="paragraph" w:styleId="BalloonText">
    <w:name w:val="Balloon Text"/>
    <w:basedOn w:val="Normal"/>
    <w:link w:val="BalloonTextChar"/>
    <w:uiPriority w:val="99"/>
    <w:semiHidden/>
    <w:unhideWhenUsed/>
    <w:rsid w:val="00995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1A"/>
    <w:rPr>
      <w:rFonts w:ascii="Tahoma" w:hAnsi="Tahoma" w:cs="Tahoma"/>
      <w:sz w:val="16"/>
      <w:szCs w:val="16"/>
    </w:rPr>
  </w:style>
  <w:style w:type="paragraph" w:styleId="Header">
    <w:name w:val="header"/>
    <w:basedOn w:val="Normal"/>
    <w:link w:val="HeaderChar"/>
    <w:uiPriority w:val="99"/>
    <w:unhideWhenUsed/>
    <w:rsid w:val="00126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3E"/>
    <w:rPr>
      <w:sz w:val="22"/>
      <w:szCs w:val="22"/>
    </w:rPr>
  </w:style>
  <w:style w:type="paragraph" w:styleId="Footer">
    <w:name w:val="footer"/>
    <w:basedOn w:val="Normal"/>
    <w:link w:val="FooterChar"/>
    <w:uiPriority w:val="99"/>
    <w:unhideWhenUsed/>
    <w:rsid w:val="00126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615</Words>
  <Characters>3509</Characters>
  <Application>Microsoft Office Word</Application>
  <DocSecurity>0</DocSecurity>
  <Lines>29</Lines>
  <Paragraphs>8</Paragraphs>
  <ScaleCrop>false</ScaleCrop>
  <Company>University of Waikato</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aand</dc:creator>
  <cp:keywords/>
  <dc:description/>
  <cp:lastModifiedBy>Adrienne Anderson</cp:lastModifiedBy>
  <cp:revision>10</cp:revision>
  <cp:lastPrinted>2011-03-31T02:11:00Z</cp:lastPrinted>
  <dcterms:created xsi:type="dcterms:W3CDTF">2011-09-29T22:37:00Z</dcterms:created>
  <dcterms:modified xsi:type="dcterms:W3CDTF">2014-09-29T22:23:00Z</dcterms:modified>
</cp:coreProperties>
</file>